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37" w:type="dxa"/>
        <w:tblCellMar>
          <w:left w:w="0" w:type="dxa"/>
          <w:right w:w="0" w:type="dxa"/>
        </w:tblCellMar>
        <w:tblLook w:val="04A0"/>
      </w:tblPr>
      <w:tblGrid>
        <w:gridCol w:w="6884"/>
      </w:tblGrid>
      <w:tr w:rsidR="000A5ADE" w:rsidRPr="000A5ADE" w:rsidTr="000A5ADE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A5ADE" w:rsidRDefault="000A5ADE" w:rsidP="000A5ADE">
            <w:pPr>
              <w:spacing w:before="34" w:after="34" w:line="267" w:lineRule="atLeast"/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val="uk-UA" w:eastAsia="ru-RU"/>
              </w:rPr>
            </w:pPr>
            <w:r w:rsidRPr="000A5ADE"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eastAsia="ru-RU"/>
              </w:rPr>
              <w:t>http://vnstele.com/system-komut/lecz-ok/100-43-lecz-ok.html</w:t>
            </w:r>
          </w:p>
          <w:p w:rsidR="000A5ADE" w:rsidRPr="000A5ADE" w:rsidRDefault="000A5ADE" w:rsidP="000A5ADE">
            <w:pPr>
              <w:spacing w:before="34" w:after="34" w:line="267" w:lineRule="atLeast"/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eastAsia="ru-RU"/>
              </w:rPr>
            </w:pPr>
            <w:r w:rsidRPr="000A5ADE"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eastAsia="ru-RU"/>
              </w:rPr>
              <w:t xml:space="preserve">Структура </w:t>
            </w: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eastAsia="ru-RU"/>
              </w:rPr>
              <w:t>Взаємопов'язаної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color w:val="4CAFC6"/>
                <w:sz w:val="21"/>
                <w:szCs w:val="21"/>
                <w:lang w:eastAsia="ru-RU"/>
              </w:rPr>
              <w:t>зв'язку</w:t>
            </w:r>
            <w:proofErr w:type="spellEnd"/>
          </w:p>
        </w:tc>
      </w:tr>
    </w:tbl>
    <w:p w:rsidR="000A5ADE" w:rsidRPr="000A5ADE" w:rsidRDefault="000A5ADE" w:rsidP="000A5A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0A5ADE" w:rsidRPr="000A5ADE" w:rsidTr="000A5AD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216A9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5216A9" w:rsidRDefault="005216A9" w:rsidP="005216A9">
            <w:pPr>
              <w:spacing w:line="267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5" w:history="1">
              <w:proofErr w:type="spellStart"/>
              <w:r>
                <w:rPr>
                  <w:rStyle w:val="a4"/>
                  <w:rFonts w:ascii="Verdana" w:hAnsi="Verdana" w:cs="Tahoma"/>
                  <w:b/>
                  <w:bCs/>
                  <w:color w:val="4CAFC6"/>
                  <w:spacing w:val="17"/>
                  <w:sz w:val="31"/>
                  <w:szCs w:val="31"/>
                </w:rPr>
                <w:t>Віртуальне</w:t>
              </w:r>
              <w:proofErr w:type="spellEnd"/>
              <w:r>
                <w:rPr>
                  <w:rStyle w:val="a4"/>
                  <w:rFonts w:ascii="Verdana" w:hAnsi="Verdana" w:cs="Tahoma"/>
                  <w:b/>
                  <w:bCs/>
                  <w:color w:val="4CAFC6"/>
                  <w:spacing w:val="17"/>
                  <w:sz w:val="31"/>
                  <w:szCs w:val="31"/>
                </w:rPr>
                <w:t xml:space="preserve"> </w:t>
              </w:r>
              <w:proofErr w:type="spellStart"/>
              <w:r>
                <w:rPr>
                  <w:rStyle w:val="a4"/>
                  <w:rFonts w:ascii="Verdana" w:hAnsi="Verdana" w:cs="Tahoma"/>
                  <w:b/>
                  <w:bCs/>
                  <w:color w:val="4CAFC6"/>
                  <w:spacing w:val="17"/>
                  <w:sz w:val="31"/>
                  <w:szCs w:val="31"/>
                </w:rPr>
                <w:t>Навчальне</w:t>
              </w:r>
              <w:proofErr w:type="spellEnd"/>
              <w:r>
                <w:rPr>
                  <w:rStyle w:val="a4"/>
                  <w:rFonts w:ascii="Verdana" w:hAnsi="Verdana" w:cs="Tahoma"/>
                  <w:b/>
                  <w:bCs/>
                  <w:color w:val="4CAFC6"/>
                  <w:spacing w:val="17"/>
                  <w:sz w:val="31"/>
                  <w:szCs w:val="31"/>
                </w:rPr>
                <w:t xml:space="preserve"> </w:t>
              </w:r>
              <w:proofErr w:type="spellStart"/>
              <w:r>
                <w:rPr>
                  <w:rStyle w:val="a4"/>
                  <w:rFonts w:ascii="Verdana" w:hAnsi="Verdana" w:cs="Tahoma"/>
                  <w:b/>
                  <w:bCs/>
                  <w:color w:val="4CAFC6"/>
                  <w:spacing w:val="17"/>
                  <w:sz w:val="31"/>
                  <w:szCs w:val="31"/>
                </w:rPr>
                <w:t>Середовище</w:t>
              </w:r>
              <w:proofErr w:type="spellEnd"/>
              <w:r>
                <w:rPr>
                  <w:rStyle w:val="a4"/>
                  <w:rFonts w:ascii="Verdana" w:hAnsi="Verdana" w:cs="Tahoma"/>
                  <w:b/>
                  <w:bCs/>
                  <w:color w:val="4CAFC6"/>
                  <w:spacing w:val="17"/>
                  <w:sz w:val="31"/>
                  <w:szCs w:val="31"/>
                </w:rPr>
                <w:t xml:space="preserve"> Телекомунікацій</w:t>
              </w:r>
            </w:hyperlink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0A5ADE" w:rsidRPr="000A5ADE" w:rsidRDefault="000A5ADE" w:rsidP="000A5A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7" w:type="dxa"/>
        <w:tblCellMar>
          <w:left w:w="0" w:type="dxa"/>
          <w:right w:w="0" w:type="dxa"/>
        </w:tblCellMar>
        <w:tblLook w:val="04A0"/>
      </w:tblPr>
      <w:tblGrid>
        <w:gridCol w:w="9278"/>
      </w:tblGrid>
      <w:tr w:rsidR="000A5ADE" w:rsidRPr="000A5ADE" w:rsidTr="000A5AD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A5ADE" w:rsidRPr="000A5ADE" w:rsidRDefault="000A5ADE" w:rsidP="000A5ADE">
            <w:pPr>
              <w:spacing w:before="34" w:after="34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hyperlink r:id="rId6" w:history="1">
              <w:r w:rsidRPr="000A5ADE">
                <w:rPr>
                  <w:rFonts w:ascii="Tahoma" w:eastAsia="Times New Roman" w:hAnsi="Tahoma" w:cs="Tahoma"/>
                  <w:color w:val="666666"/>
                  <w:sz w:val="21"/>
                  <w:u w:val="single"/>
                  <w:shd w:val="clear" w:color="auto" w:fill="FFFFFF" w:themeFill="background1"/>
                  <w:lang w:eastAsia="ru-RU"/>
                </w:rPr>
                <w:t xml:space="preserve">Теоретична </w:t>
              </w:r>
              <w:proofErr w:type="spellStart"/>
              <w:r w:rsidRPr="000A5ADE">
                <w:rPr>
                  <w:rFonts w:ascii="Tahoma" w:eastAsia="Times New Roman" w:hAnsi="Tahoma" w:cs="Tahoma"/>
                  <w:color w:val="666666"/>
                  <w:sz w:val="21"/>
                  <w:u w:val="single"/>
                  <w:shd w:val="clear" w:color="auto" w:fill="FFFFFF" w:themeFill="background1"/>
                  <w:lang w:eastAsia="ru-RU"/>
                </w:rPr>
                <w:t>частина</w:t>
              </w:r>
              <w:proofErr w:type="spellEnd"/>
            </w:hyperlink>
          </w:p>
        </w:tc>
      </w:tr>
      <w:tr w:rsidR="000A5ADE" w:rsidRPr="000A5ADE" w:rsidTr="000A5AD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 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історичному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плані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види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електрозв'язку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тривалий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період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розвивалися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незалежно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один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одного,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внаслідок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сформувалися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декілька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незалежних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мереж. Разом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загального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справлялися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необхідними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об'ємами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повідомлень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вимагаються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нормального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економічного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розвитку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країни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тому ряд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міністерств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відомств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стали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створювати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свої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задоволення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власних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потреб.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Така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технічна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політика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привела до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більшого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роз'єднування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технічних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засобів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ефективність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сукупності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в масштабах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країни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залишалася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низкою.</w:t>
            </w:r>
            <w:proofErr w:type="gramEnd"/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Вже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початку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60-х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років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було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ясно,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перспективним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напрямом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розвитку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повинно стати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об'єднання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Можна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виділити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наступні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передумови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об'єднання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мереж:</w:t>
            </w:r>
          </w:p>
          <w:p w:rsidR="000A5ADE" w:rsidRPr="000A5ADE" w:rsidRDefault="000A5ADE" w:rsidP="000A5ADE">
            <w:pPr>
              <w:numPr>
                <w:ilvl w:val="0"/>
                <w:numId w:val="1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уніфікація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методів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перетворення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,</w:t>
            </w:r>
          </w:p>
          <w:p w:rsidR="000A5ADE" w:rsidRPr="000A5ADE" w:rsidRDefault="000A5ADE" w:rsidP="000A5ADE">
            <w:pPr>
              <w:numPr>
                <w:ilvl w:val="0"/>
                <w:numId w:val="1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необхідність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сигналів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співпадаючих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напрямах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,</w:t>
            </w:r>
          </w:p>
          <w:p w:rsidR="000A5ADE" w:rsidRPr="000A5ADE" w:rsidRDefault="000A5ADE" w:rsidP="000A5ADE">
            <w:pPr>
              <w:numPr>
                <w:ilvl w:val="0"/>
                <w:numId w:val="1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схож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функцій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систем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Взаємопов'язана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 xml:space="preserve"> мережа </w:t>
            </w: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(ВМЗ) -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сукупність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технічно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зв'язаних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електрозв'язку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загального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відомчих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інших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електрозв'язку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території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держави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незалежно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відомчої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приналежності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форм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власності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забезпечена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загальним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централізованим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управлінням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Основними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вимогами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Взаємопов'язаної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надійність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економічність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Сукупність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технічних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засобів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Взаємопов'язаної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беруть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участь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процесі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незалежно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виду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повідомлень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утворює</w:t>
            </w:r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транспортну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первинну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)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мережу 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(ПМ).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Принцип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побудови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первинної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показаний на рис. 5.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складу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входять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мережеві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вузли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мережеві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станції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лінії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lastRenderedPageBreak/>
              <w:drawing>
                <wp:inline distT="0" distB="0" distL="0" distR="0">
                  <wp:extent cx="4288790" cy="3308985"/>
                  <wp:effectExtent l="19050" t="0" r="0" b="0"/>
                  <wp:docPr id="106" name="Рисунок 106" descr="tr-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r-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330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Рис. 5.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Первинна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зв’язку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Термін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"</w:t>
            </w:r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Транспортна мережа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" – переклад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англ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ійської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мови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словосполучення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"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Transport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Network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".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Термін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"</w:t>
            </w: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Первинна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 xml:space="preserve"> мережа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"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був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введений як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назва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сукупності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каналів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трактів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ресурси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використовуються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ізними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вторинними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мережами – телефонною, телеграфною та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іншими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На рис. 1.5. показано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первинну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)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вторинні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)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модель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ілюструє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принципи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використання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ресурсів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організації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телефонного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даних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(ПД).</w:t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4288790" cy="2177415"/>
                  <wp:effectExtent l="19050" t="0" r="0" b="0"/>
                  <wp:docPr id="107" name="Рисунок 107" descr="tr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r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Рис. 1.5.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Транспортна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МС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станція</w:t>
            </w:r>
            <w:proofErr w:type="spellEnd"/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ЦКВ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цифровий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кросовий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вузол</w:t>
            </w:r>
            <w:proofErr w:type="spellEnd"/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МВ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мережевий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вузол</w:t>
            </w:r>
            <w:proofErr w:type="spellEnd"/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ЦКП – центр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пакеті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spellEnd"/>
            <w:proofErr w:type="gramEnd"/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Рис. 1.5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складається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двох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фрагментів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Лівий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фрагмент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ілюструє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принципи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побудови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гіпотетичної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МТМ,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складається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чотирьох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МС.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Правий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фрагмент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показує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ідею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побудови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даних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утворюється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трьома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центрами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пакетів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(ЦКП).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Нижні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частини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лівого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правого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фрагментів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ідентичні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оскільки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відображають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загальну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lastRenderedPageBreak/>
              <w:t xml:space="preserve">мережу, яка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складається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двох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основних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елементів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мережевих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вузлів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(МВ)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об'єднуючих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їх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ліній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Історично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склалася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так,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обладнання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розташовується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тих же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будівлях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де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встановлюється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комутаційне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обладнання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ТМЗК.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цієї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причини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кількість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МВ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даній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моделі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такаж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як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кількість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МС.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На рис. 1.5 показана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кільцева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структура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але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єдино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можливе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ішення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даній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моделі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передбачається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були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побудовані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базі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цифрових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кросових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вузлів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(ЦКВ).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Важлива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особливість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ЦКВ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можливість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оперативного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встановлення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напівпостійних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з'єднань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того,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щоб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були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надані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необхідні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ресурси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обміну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інформацією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ЦКВ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дозволяють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формувати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будь-яко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структури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Лівий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фрагмент рис. 1.5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показує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структуру МТМ,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МС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собою за принципом "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кожен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кожним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".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Гіпотетична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 ПД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правий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фрагмент рис. 1.5 –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містить</w:t>
            </w:r>
            <w:proofErr w:type="spellEnd"/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три ЦКП,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утворюють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структуру типу "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зірка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".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Структура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враховує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адміністративний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розподіл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країни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Територія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країни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под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ілена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телефонні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Ознака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-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єдина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7-значна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нумерація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Як правило,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співпадають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територіями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областей.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Відповідно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цього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розподілу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складається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окремих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частин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: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proofErr w:type="gramStart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м</w:t>
            </w:r>
            <w:proofErr w:type="gramEnd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ісцеві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 xml:space="preserve"> ТМ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-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обмежені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територією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міста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сільського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району;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внутрішньозонові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 xml:space="preserve"> ТМ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-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охоплює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територію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забезпечує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з'єднання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всередині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;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магістральна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 xml:space="preserve"> ТМ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-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сполучає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зонові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Кожна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входить 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Взаємопов'язану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крім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технічних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засобів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первинної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використовує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пристрої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властиві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proofErr w:type="spellStart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>Вторинна</w:t>
            </w:r>
            <w:proofErr w:type="spellEnd"/>
            <w:r w:rsidRPr="000A5AD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hd w:val="clear" w:color="auto" w:fill="FFFFFF" w:themeFill="background1"/>
                <w:lang w:eastAsia="ru-RU"/>
              </w:rPr>
              <w:t xml:space="preserve"> мережа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hd w:val="clear" w:color="auto" w:fill="FFFFFF" w:themeFill="background1"/>
                <w:lang w:eastAsia="ru-RU"/>
              </w:rPr>
              <w:t> </w:t>
            </w: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(ВМ) -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сукупність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технічних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засобів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забезпечують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передачу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інформації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певного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виду.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складу ВМ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входять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:</w:t>
            </w:r>
          </w:p>
          <w:p w:rsidR="000A5ADE" w:rsidRPr="000A5ADE" w:rsidRDefault="000A5ADE" w:rsidP="000A5ADE">
            <w:pPr>
              <w:numPr>
                <w:ilvl w:val="0"/>
                <w:numId w:val="2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кінцеві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абонентські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пристрої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,</w:t>
            </w:r>
          </w:p>
          <w:p w:rsidR="000A5ADE" w:rsidRPr="000A5ADE" w:rsidRDefault="000A5ADE" w:rsidP="000A5ADE">
            <w:pPr>
              <w:numPr>
                <w:ilvl w:val="0"/>
                <w:numId w:val="2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абонентські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лінії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(АЛ),</w:t>
            </w:r>
          </w:p>
          <w:p w:rsidR="000A5ADE" w:rsidRPr="000A5ADE" w:rsidRDefault="000A5ADE" w:rsidP="000A5ADE">
            <w:pPr>
              <w:numPr>
                <w:ilvl w:val="0"/>
                <w:numId w:val="2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комутаційні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пристрої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канали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виділені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ПМ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для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організації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даної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ВМ.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На рис. 1.9. показано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основні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компоненти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Взаємопов’язаної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зв’язку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України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3853815" cy="2514600"/>
                  <wp:effectExtent l="19050" t="0" r="0" b="0"/>
                  <wp:docPr id="108" name="Рисунок 108" descr="wmz-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wmz-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1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Рис.1.9.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Основні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компоненти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Взаємопов’язаної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зв’язку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України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До складу ВМЗ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України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входять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двох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видів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лівій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частині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рис.1.9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показані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загального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повинні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бути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доступні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фізичним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юридичним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особам.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обмеженого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розташовані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правій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частині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рис. 1.9,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діляться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дві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великі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групи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Перша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група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відомств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створювані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обміну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ізного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роду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інформацією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lastRenderedPageBreak/>
              <w:t>необхідною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вирішення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виробничих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задач.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До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другої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групи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входять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спеціального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призначення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мета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створення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надійної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системи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для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орган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управління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безпеки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подібних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структур.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Можливість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правила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використання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ресурсі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spellEnd"/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обмеженого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визначаються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їх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Операторами.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Взаємодія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загального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обмеженого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може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здійснюватися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ізними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способами.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Зокрема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можуть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орендуватися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ресурси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постійно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випадку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будь-яких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відмов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Принципи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взаємодії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загального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обмеженого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зазнають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істотних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змін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обумовлені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економічними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адміністративними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технічними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чинниками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Технічні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чинники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кількісні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якісні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зміни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відбуваються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телекомунікаційних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мережах.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Давайте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повернемося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до рис. 1.5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пригадаємо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про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дворівневе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розділення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було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засновано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відмінності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їх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функціонального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призначення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І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часто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ділять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ієрархічних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івнях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На рис.1.10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показані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чотири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івні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ієрархії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виділяються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електрозв'язку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4288790" cy="1132205"/>
                  <wp:effectExtent l="19050" t="0" r="0" b="0"/>
                  <wp:docPr id="109" name="Рисунок 109" descr="1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Рис. 1.10.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Ієрархічні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івні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електрозв’язку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Перший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елемент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моделі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мережа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приміщенні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користувача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Customer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Premises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Equipment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CPE).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Мережа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абонентського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доступу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Access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Network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)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другим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елементом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даної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моделі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Вона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забезпечує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вихід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транзитну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мережу, яка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ділиться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два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івні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Local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)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міжміський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Long-distance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).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Зонова мережа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звичайно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але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завжди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!)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створюється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межах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певної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адміністративної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території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Відмінна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ознака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виділення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географічного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коду "ABC"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плані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нумерації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української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ТМЗК.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кожній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ТМЗК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експлуатовані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АЛ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ідентифікуються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семизначним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номером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abxxxxx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організовується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декілька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МТМ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СТМ.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Зв'язок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абонентами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ізних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однієї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ТМЗК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називається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внутрішньозоновим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означа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,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внутрішньозонова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розташовується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АМТС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взаємодіючою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нею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комутаційною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станцією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телефонної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АМТС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комбінована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станція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виконує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три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основні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функції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:</w:t>
            </w:r>
          </w:p>
          <w:p w:rsidR="000A5ADE" w:rsidRPr="000A5ADE" w:rsidRDefault="000A5ADE" w:rsidP="000A5ADE">
            <w:pPr>
              <w:numPr>
                <w:ilvl w:val="0"/>
                <w:numId w:val="3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встановлення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з'єднань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абонентами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ізних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телефонних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однієї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зони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ТМЗК;</w:t>
            </w:r>
          </w:p>
          <w:p w:rsidR="000A5ADE" w:rsidRPr="000A5ADE" w:rsidRDefault="000A5ADE" w:rsidP="000A5ADE">
            <w:pPr>
              <w:numPr>
                <w:ilvl w:val="0"/>
                <w:numId w:val="3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встановлення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з'єднань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абонентами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ізних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зон ТМЗК;</w:t>
            </w:r>
          </w:p>
          <w:p w:rsidR="000A5ADE" w:rsidRPr="000A5ADE" w:rsidRDefault="000A5ADE" w:rsidP="000A5ADE">
            <w:pPr>
              <w:numPr>
                <w:ilvl w:val="0"/>
                <w:numId w:val="3"/>
              </w:numPr>
              <w:spacing w:before="100" w:beforeAutospacing="1" w:after="86" w:line="267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вихід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міжнародний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центр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(МЦК) для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встановлення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з'єднань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абонентами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інших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країн</w:t>
            </w:r>
            <w:proofErr w:type="spellEnd"/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б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ільшості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зарубіжних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ТМЗК на АМТС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покладаються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також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функції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транзитної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станції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цьому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випадку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ніякі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інші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ТС в МТМ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СТМ не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створюються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Повернемося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рис.1.10. Мережа 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прим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іщенні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користувача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як правило, не входить в сферу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відповідальності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оператора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Найпростіший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приклад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цієї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ідключення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одного ТА.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цьому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випадку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межею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мережами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прим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іщенні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користувача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абонентського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доступу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телефонна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розетка.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Усунення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несправності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терміналу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включаючи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телефонний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шнур, не входить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компетенцію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експлуатаційної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компанії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хоча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такі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роботи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можуть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lastRenderedPageBreak/>
              <w:t>виконуватися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договірній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основі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Один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найскладніших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прикладі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spellEnd"/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приміщенні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ВАТС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локальна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комп’ютерна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 (ЛКМ).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цьому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випадку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інтерфейс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мережами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прим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іщенні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користувача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абонентського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доступу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достатньо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складним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ідтримка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заданих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показників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функціонування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приміщенні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користувача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силами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експлуатаційній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компанії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ТМЗК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вельми проблематичною.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Тепер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розглянемо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два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середні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еліпси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малюнку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1.10. При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аналізі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економічних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характеристик ТМЗК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при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виборі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оптимального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варіанту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Операторської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діяльності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їх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іноді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об'єднують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Ми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поступимо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так само для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аналізу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інвестицій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доходів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доводяться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три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види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телефонного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міжміська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міжнародна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Відповідний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розподіл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показано на рис. 1.11,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відомому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як "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трикутники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Дюка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"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"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іраміди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Дюка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". Очевидно,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нормальний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розвиток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телекомунікаційної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системи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можливий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тільки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тому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випадку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частина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прибутку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обслуговування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міжміського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міжнародного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трафіку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прямуватиме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модернізацію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місцевих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Ця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задача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простіше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за все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розв'язується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при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раціональній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організації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Операторської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діяльності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4288790" cy="3472815"/>
                  <wp:effectExtent l="19050" t="0" r="0" b="0"/>
                  <wp:docPr id="110" name="Рисунок 110" descr="1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347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DE" w:rsidRPr="000A5ADE" w:rsidRDefault="000A5ADE" w:rsidP="000A5ADE">
            <w:pPr>
              <w:spacing w:after="86" w:line="267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Рис. 1.11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Розподіл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доходів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інвестицій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мережах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електрозв'язку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.</w:t>
            </w:r>
          </w:p>
          <w:p w:rsidR="000A5ADE" w:rsidRPr="000A5ADE" w:rsidRDefault="000A5ADE" w:rsidP="000A5ADE">
            <w:pPr>
              <w:spacing w:after="86" w:line="267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</w:pPr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Рис.1.11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представляє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вартісні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оцінки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без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розділення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відповідних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ієрархічних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івнів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комутовану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даному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випадку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–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телефонну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)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Їх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співвідношення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для кожного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рівня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ієрархії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змінюється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широких межах.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Зокрема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в </w:t>
            </w:r>
            <w:proofErr w:type="spellStart"/>
            <w:proofErr w:type="gram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</w:t>
            </w:r>
            <w:proofErr w:type="gram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іжнародній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міжміській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мережах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основні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витрати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припадають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транспортні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засоби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тобто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системи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передачі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лінійні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споруди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кабелі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зв'язку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РРЛ). Для МТМ (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якщо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її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склад не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включати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мережі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абонентського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доступу)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основні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витрати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припадають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комутаційні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станції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тобто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на МС </w:t>
            </w:r>
            <w:proofErr w:type="spellStart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>і</w:t>
            </w:r>
            <w:proofErr w:type="spellEnd"/>
            <w:r w:rsidRPr="000A5ADE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 w:themeFill="background1"/>
                <w:lang w:eastAsia="ru-RU"/>
              </w:rPr>
              <w:t xml:space="preserve"> ТС.</w:t>
            </w:r>
          </w:p>
        </w:tc>
      </w:tr>
    </w:tbl>
    <w:p w:rsidR="002F6279" w:rsidRDefault="002F6279"/>
    <w:sectPr w:rsidR="002F6279" w:rsidSect="002F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1796"/>
    <w:multiLevelType w:val="multilevel"/>
    <w:tmpl w:val="296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5738A"/>
    <w:multiLevelType w:val="multilevel"/>
    <w:tmpl w:val="7C5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47F1D"/>
    <w:multiLevelType w:val="multilevel"/>
    <w:tmpl w:val="A180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5ADE"/>
    <w:rsid w:val="000A5ADE"/>
    <w:rsid w:val="0026464A"/>
    <w:rsid w:val="002F6279"/>
    <w:rsid w:val="005216A9"/>
    <w:rsid w:val="0063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ADE"/>
    <w:rPr>
      <w:color w:val="0000FF"/>
      <w:u w:val="single"/>
    </w:rPr>
  </w:style>
  <w:style w:type="paragraph" w:customStyle="1" w:styleId="contentpane">
    <w:name w:val="contentpane"/>
    <w:basedOn w:val="a"/>
    <w:rsid w:val="000A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5ADE"/>
    <w:rPr>
      <w:i/>
      <w:iCs/>
    </w:rPr>
  </w:style>
  <w:style w:type="character" w:styleId="a6">
    <w:name w:val="Strong"/>
    <w:basedOn w:val="a0"/>
    <w:uiPriority w:val="22"/>
    <w:qFormat/>
    <w:rsid w:val="000A5ADE"/>
    <w:rPr>
      <w:b/>
      <w:bCs/>
    </w:rPr>
  </w:style>
  <w:style w:type="character" w:customStyle="1" w:styleId="apple-converted-space">
    <w:name w:val="apple-converted-space"/>
    <w:basedOn w:val="a0"/>
    <w:rsid w:val="000A5ADE"/>
  </w:style>
  <w:style w:type="character" w:customStyle="1" w:styleId="verdana12">
    <w:name w:val="verdana12"/>
    <w:basedOn w:val="a0"/>
    <w:rsid w:val="000A5ADE"/>
  </w:style>
  <w:style w:type="paragraph" w:styleId="a7">
    <w:name w:val="Balloon Text"/>
    <w:basedOn w:val="a"/>
    <w:link w:val="a8"/>
    <w:uiPriority w:val="99"/>
    <w:semiHidden/>
    <w:unhideWhenUsed/>
    <w:rsid w:val="000A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stele.com/system-komut/lecz-ok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vnstele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1458</Words>
  <Characters>8312</Characters>
  <Application>Microsoft Office Word</Application>
  <DocSecurity>0</DocSecurity>
  <Lines>69</Lines>
  <Paragraphs>19</Paragraphs>
  <ScaleCrop>false</ScaleCrop>
  <Company>DRPSK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2014-10-02T10:36:00Z</dcterms:created>
  <dcterms:modified xsi:type="dcterms:W3CDTF">2014-10-02T10:43:00Z</dcterms:modified>
</cp:coreProperties>
</file>